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D6D3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916750" w:rsidRPr="00916750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106,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35,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206,2m2,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đô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182m2,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lâ</w:t>
      </w:r>
      <w:bookmarkStart w:id="0" w:name="_GoBack"/>
      <w:bookmarkEnd w:id="0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24,2m2,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87,3m2 (66,1m2 ODT + 21,2m2 CLN)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1162/QĐ-UBND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05/6/2023,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DG 990626,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GCN: CS 01586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24/8/2022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Ánh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theo.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16750" w:rsidRPr="00916750" w:rsidRDefault="009A65CA" w:rsidP="0091675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bookmarkStart w:id="1" w:name="_Hlk140221926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15.227.270.605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Mười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bookmarkEnd w:id="1"/>
    <w:p w:rsidR="00121D72" w:rsidRPr="00CC1406" w:rsidRDefault="00CC1406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2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2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3.000.000.000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(Ba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6750" w:rsidRPr="0091675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A272F"/>
    <w:rsid w:val="0051773E"/>
    <w:rsid w:val="00523BCC"/>
    <w:rsid w:val="00532FA1"/>
    <w:rsid w:val="0054078E"/>
    <w:rsid w:val="00571E41"/>
    <w:rsid w:val="005939AB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16750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ACFA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2026-06-30T16:12:00Z</dcterms:modified>
</cp:coreProperties>
</file>